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2AAEF973"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53AE476A"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運賃は使用車両及び運送距離によって、運賃率表に掲げてある金額（以下「基準運賃」といいます。）の上下それぞれ</w:t>
      </w:r>
      <w:r w:rsidR="005C6505">
        <w:rPr>
          <w:color w:val="FF0000"/>
        </w:rPr>
        <w:t xml:space="preserve">　　</w:t>
      </w:r>
      <w:r w:rsidR="002406CE" w:rsidRPr="00470821">
        <w:rPr>
          <w:color w:val="000000" w:themeColor="text1"/>
        </w:rPr>
        <w:t>％の範囲内で計算します。なお、10kmに満たない走行キロは10kmに切り上げて計算します。</w:t>
      </w:r>
    </w:p>
    <w:p w14:paraId="67C8BC1D" w14:textId="7C19B6F4"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C6505">
        <w:rPr>
          <w:color w:val="FF0000"/>
        </w:rPr>
        <w:t xml:space="preserve">　　</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D1B2AAF"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C6505">
        <w:rPr>
          <w:color w:val="FF0000"/>
        </w:rPr>
        <w:t xml:space="preserve">　　</w:t>
      </w:r>
      <w:r w:rsidRPr="00470821">
        <w:rPr>
          <w:color w:val="000000" w:themeColor="text1"/>
        </w:rPr>
        <w:t>円未満のときは、</w:t>
      </w:r>
      <w:r w:rsidR="005C6505">
        <w:rPr>
          <w:color w:val="FF0000"/>
        </w:rPr>
        <w:t xml:space="preserve">　　</w:t>
      </w:r>
      <w:r w:rsidRPr="00470821">
        <w:rPr>
          <w:color w:val="000000" w:themeColor="text1"/>
        </w:rPr>
        <w:t>円未満の端数は</w:t>
      </w:r>
      <w:r w:rsidR="005C6505">
        <w:rPr>
          <w:color w:val="FF0000"/>
        </w:rPr>
        <w:t xml:space="preserve">　　</w:t>
      </w:r>
      <w:r w:rsidRPr="00470821">
        <w:rPr>
          <w:color w:val="000000" w:themeColor="text1"/>
        </w:rPr>
        <w:t>円に切り上げます。</w:t>
      </w:r>
    </w:p>
    <w:p w14:paraId="5FBCB663" w14:textId="061479CC"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C6505">
        <w:rPr>
          <w:color w:val="FF0000"/>
        </w:rPr>
        <w:t xml:space="preserve">　　</w:t>
      </w:r>
      <w:r w:rsidRPr="00470821">
        <w:rPr>
          <w:color w:val="000000" w:themeColor="text1"/>
        </w:rPr>
        <w:t>円を超えるときは、</w:t>
      </w:r>
      <w:r w:rsidR="005C6505">
        <w:rPr>
          <w:color w:val="FF0000"/>
        </w:rPr>
        <w:t xml:space="preserve">　　</w:t>
      </w:r>
      <w:r w:rsidRPr="00470821">
        <w:rPr>
          <w:color w:val="000000" w:themeColor="text1"/>
        </w:rPr>
        <w:t>円未満の端数は</w:t>
      </w:r>
      <w:r w:rsidR="005C6505">
        <w:rPr>
          <w:color w:val="FF0000"/>
        </w:rPr>
        <w:t xml:space="preserve">　　</w:t>
      </w:r>
      <w:r w:rsidRPr="00470821">
        <w:rPr>
          <w:color w:val="000000" w:themeColor="text1"/>
        </w:rPr>
        <w:t>円に、</w:t>
      </w:r>
      <w:r w:rsidR="005C6505">
        <w:rPr>
          <w:color w:val="FF0000"/>
        </w:rPr>
        <w:t xml:space="preserve">　　</w:t>
      </w:r>
      <w:r w:rsidRPr="00470821">
        <w:rPr>
          <w:color w:val="000000" w:themeColor="text1"/>
        </w:rPr>
        <w:t>円を超え、</w:t>
      </w:r>
      <w:r w:rsidR="005C6505">
        <w:rPr>
          <w:color w:val="FF0000"/>
        </w:rPr>
        <w:t xml:space="preserve">　　</w:t>
      </w:r>
      <w:r w:rsidRPr="00470821">
        <w:rPr>
          <w:color w:val="000000" w:themeColor="text1"/>
        </w:rPr>
        <w:t>円未満の端数は</w:t>
      </w:r>
      <w:r w:rsidR="005C6505">
        <w:rPr>
          <w:color w:val="FF0000"/>
        </w:rPr>
        <w:t xml:space="preserve">　　</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w:t>
      </w:r>
      <w:r w:rsidRPr="00470821">
        <w:rPr>
          <w:color w:val="000000" w:themeColor="text1"/>
        </w:rPr>
        <w:lastRenderedPageBreak/>
        <w:t>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4AADFFFA"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C6505">
        <w:rPr>
          <w:color w:val="FF0000"/>
        </w:rPr>
        <w:t xml:space="preserve">　　</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640DDCA1"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5C6505">
        <w:rPr>
          <w:color w:val="FF0000"/>
        </w:rPr>
        <w:t xml:space="preserve">　　</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w:t>
      </w:r>
      <w:r w:rsidR="002406CE" w:rsidRPr="00470821">
        <w:rPr>
          <w:color w:val="000000" w:themeColor="text1"/>
        </w:rPr>
        <w:lastRenderedPageBreak/>
        <w:t>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63848F97"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6FBC6C95"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1170C1F5"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5C6505">
        <w:rPr>
          <w:color w:val="FF0000"/>
        </w:rPr>
        <w:t xml:space="preserve">　　</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2A2A7AC7"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5C6505">
        <w:rPr>
          <w:color w:val="FF0000"/>
        </w:rPr>
        <w:t xml:space="preserve">　</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C6505">
        <w:rPr>
          <w:color w:val="FF0000"/>
        </w:rPr>
        <w:t xml:space="preserve">　　</w:t>
      </w:r>
      <w:r w:rsidR="002406CE" w:rsidRPr="00470821">
        <w:rPr>
          <w:color w:val="000000" w:themeColor="text1"/>
        </w:rPr>
        <w:t>キロメートルを超えるものに限ります。）については、基準運賃に対して</w:t>
      </w:r>
      <w:r w:rsidR="005C6505">
        <w:rPr>
          <w:color w:val="FF0000"/>
        </w:rPr>
        <w:t xml:space="preserve">　　</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534810FD"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5C6505">
        <w:rPr>
          <w:color w:val="FF0000"/>
        </w:rPr>
        <w:t xml:space="preserve">　　</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5C6505">
        <w:rPr>
          <w:color w:val="FF0000"/>
        </w:rPr>
        <w:t xml:space="preserve">　　</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lastRenderedPageBreak/>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1E1DFD29"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C6505">
        <w:rPr>
          <w:color w:val="FF0000"/>
        </w:rPr>
        <w:t xml:space="preserve">　　</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207F7BE6" w:rsidR="00B85E56" w:rsidRPr="009E37F5" w:rsidRDefault="00724B52">
      <w:pPr>
        <w:widowControl/>
        <w:overflowPunct/>
        <w:jc w:val="left"/>
        <w:textAlignment w:val="auto"/>
        <w:rPr>
          <w:rFonts w:hint="default"/>
          <w:b/>
          <w:bCs/>
          <w:color w:val="000000" w:themeColor="text1"/>
          <w:sz w:val="28"/>
          <w:szCs w:val="21"/>
        </w:rPr>
      </w:pPr>
      <w:r>
        <w:rPr>
          <w:b/>
          <w:bCs/>
          <w:color w:val="000000" w:themeColor="text1"/>
          <w:sz w:val="28"/>
          <w:szCs w:val="21"/>
        </w:rPr>
        <w:lastRenderedPageBreak/>
        <w:t xml:space="preserve">別添１　</w:t>
      </w:r>
      <w:r w:rsidR="00B85E56" w:rsidRPr="009E37F5">
        <w:rPr>
          <w:b/>
          <w:bCs/>
          <w:color w:val="000000" w:themeColor="text1"/>
          <w:sz w:val="28"/>
          <w:szCs w:val="21"/>
        </w:rPr>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7F85C87C" w:rsidR="00B85E56" w:rsidRPr="00B85E56" w:rsidRDefault="00B85E56" w:rsidP="005C6505">
            <w:pPr>
              <w:ind w:firstLineChars="100" w:firstLine="241"/>
              <w:rPr>
                <w:rFonts w:hint="default"/>
                <w:color w:val="000000" w:themeColor="text1"/>
              </w:rPr>
            </w:pPr>
            <w:r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617DDD96" w:rsidR="00B85E56" w:rsidRPr="00B85E56" w:rsidRDefault="00B85E56" w:rsidP="005C6505">
            <w:pPr>
              <w:ind w:firstLineChars="100" w:firstLine="241"/>
              <w:rPr>
                <w:rFonts w:hint="default"/>
                <w:color w:val="000000" w:themeColor="text1"/>
              </w:rPr>
            </w:pPr>
            <w:r w:rsidRPr="00B85E56">
              <w:rPr>
                <w:color w:val="000000" w:themeColor="text1"/>
              </w:rPr>
              <w:t>割以上の臨時の約束による。ただし特定毒物については，</w:t>
            </w:r>
            <w:r w:rsidR="005C6505">
              <w:rPr>
                <w:color w:val="000000" w:themeColor="text1"/>
              </w:rPr>
              <w:t xml:space="preserve">　</w:t>
            </w:r>
            <w:r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34AABC34" w:rsidR="00B85E56" w:rsidRPr="00B85E56" w:rsidRDefault="00B85E56" w:rsidP="005C6505">
            <w:pPr>
              <w:ind w:firstLineChars="100" w:firstLine="241"/>
              <w:rPr>
                <w:rFonts w:hint="default"/>
                <w:color w:val="000000" w:themeColor="text1"/>
              </w:rPr>
            </w:pPr>
            <w:r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2AAF4091" w:rsidR="00B85E56" w:rsidRPr="00B85E56" w:rsidRDefault="005C6505" w:rsidP="00B85E56">
            <w:pP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3CE6901E" w:rsidR="00B85E56" w:rsidRPr="00B85E56" w:rsidRDefault="005C6505" w:rsidP="00B85E56">
            <w:pP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7EDFB52E" w:rsidR="00B85E56" w:rsidRPr="00B85E56" w:rsidRDefault="005C6505" w:rsidP="00B85E56">
            <w:pP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67369CC5" w:rsidR="00B85E56" w:rsidRPr="00B85E56" w:rsidRDefault="009E37F5" w:rsidP="005C6505">
            <w:pPr>
              <w:ind w:firstLineChars="100" w:firstLine="241"/>
              <w:rPr>
                <w:rFonts w:hint="default"/>
                <w:color w:val="000000" w:themeColor="text1"/>
              </w:rPr>
            </w:pPr>
            <w:r w:rsidRPr="00B85E56">
              <w:rPr>
                <w:color w:val="000000" w:themeColor="text1"/>
              </w:rPr>
              <w:t>割</w:t>
            </w:r>
            <w:r w:rsidR="00B85E56" w:rsidRPr="00B85E56">
              <w:rPr>
                <w:color w:val="000000" w:themeColor="text1"/>
              </w:rPr>
              <w:t>以上の臨時の約束による。</w:t>
            </w: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0644FCD0" w:rsidR="009E37F5" w:rsidRDefault="009E37F5">
            <w:pPr>
              <w:rPr>
                <w:rFonts w:hint="default"/>
                <w:color w:val="000000" w:themeColor="text1"/>
              </w:rPr>
            </w:pPr>
            <w:r w:rsidRPr="00B85E56">
              <w:rPr>
                <w:color w:val="000000" w:themeColor="text1"/>
              </w:rPr>
              <w:t>１個の長さが荷台の長さにその長さの</w:t>
            </w:r>
            <w:r w:rsidR="005C6505">
              <w:rPr>
                <w:color w:val="000000" w:themeColor="text1"/>
              </w:rPr>
              <w:t xml:space="preserve">　</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1FA37A53" w:rsidR="009E37F5" w:rsidRDefault="009E37F5" w:rsidP="005C6505">
            <w:pPr>
              <w:ind w:firstLineChars="100" w:firstLine="241"/>
              <w:rPr>
                <w:rFonts w:hint="default"/>
                <w:color w:val="000000" w:themeColor="text1"/>
              </w:rPr>
            </w:pPr>
            <w:r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41BC5B6C" w:rsidR="009E37F5" w:rsidRDefault="005C6505" w:rsidP="00B85E56">
            <w:pPr>
              <w:rPr>
                <w:rFonts w:hint="default"/>
                <w:color w:val="000000" w:themeColor="text1"/>
              </w:rPr>
            </w:pPr>
            <w:r>
              <w:rPr>
                <w:color w:val="000000" w:themeColor="text1"/>
              </w:rPr>
              <w:t xml:space="preserve">　</w:t>
            </w:r>
            <w:r w:rsidR="009E37F5"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59CF62EB" w14:textId="77777777" w:rsidR="009E37F5" w:rsidRDefault="009E37F5" w:rsidP="00B85E56">
      <w:pPr>
        <w:ind w:left="242" w:hanging="242"/>
        <w:rPr>
          <w:rFonts w:hint="default"/>
          <w:color w:val="000000" w:themeColor="text1"/>
        </w:rPr>
      </w:pPr>
    </w:p>
    <w:p w14:paraId="5D0DD377" w14:textId="77777777" w:rsidR="009E37F5" w:rsidRDefault="009E37F5" w:rsidP="00B85E56">
      <w:pPr>
        <w:ind w:left="242" w:hanging="242"/>
        <w:rPr>
          <w:rFonts w:hint="default"/>
          <w:color w:val="000000" w:themeColor="text1"/>
        </w:rPr>
      </w:pPr>
    </w:p>
    <w:p w14:paraId="38CD344D" w14:textId="77777777" w:rsidR="009E37F5" w:rsidRDefault="009E37F5" w:rsidP="00B85E56">
      <w:pPr>
        <w:ind w:left="242" w:hanging="242"/>
        <w:rPr>
          <w:rFonts w:hint="default"/>
          <w:color w:val="000000" w:themeColor="text1"/>
        </w:rPr>
      </w:pPr>
    </w:p>
    <w:p w14:paraId="270C1C6A" w14:textId="767670AB" w:rsidR="00B85E56" w:rsidRDefault="00B85E56" w:rsidP="00B85E56">
      <w:pPr>
        <w:ind w:left="242" w:hanging="242"/>
        <w:rPr>
          <w:rFonts w:hint="default"/>
          <w:color w:val="000000" w:themeColor="text1"/>
        </w:rPr>
      </w:pPr>
      <w:r>
        <w:rPr>
          <w:color w:val="000000" w:themeColor="text1"/>
        </w:rPr>
        <w:lastRenderedPageBreak/>
        <w:t>４．冬季割増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533B5723" w:rsidR="00B85E56" w:rsidRPr="00B85E56" w:rsidRDefault="005C6505" w:rsidP="00EB74FF">
            <w:pPr>
              <w:ind w:left="242" w:hanging="242"/>
              <w:jc w:val="cente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327E9B9A" w:rsidR="00B85E56" w:rsidRPr="00B85E56" w:rsidRDefault="005C6505" w:rsidP="00EB74FF">
            <w:pPr>
              <w:ind w:left="242" w:hanging="242"/>
              <w:jc w:val="cente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9351" w:type="dxa"/>
        <w:tblCellMar>
          <w:right w:w="0" w:type="dxa"/>
        </w:tblCellMar>
        <w:tblLook w:val="04A0" w:firstRow="1" w:lastRow="0" w:firstColumn="1" w:lastColumn="0" w:noHBand="0" w:noVBand="1"/>
      </w:tblPr>
      <w:tblGrid>
        <w:gridCol w:w="2722"/>
        <w:gridCol w:w="1599"/>
        <w:gridCol w:w="1911"/>
        <w:gridCol w:w="1490"/>
        <w:gridCol w:w="1629"/>
      </w:tblGrid>
      <w:tr w:rsidR="009E37F5" w:rsidRPr="00B85E56" w14:paraId="370738F5" w14:textId="77777777" w:rsidTr="00705D8F">
        <w:trPr>
          <w:trHeight w:val="915"/>
        </w:trPr>
        <w:tc>
          <w:tcPr>
            <w:tcW w:w="2722"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911"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90"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629"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CA460D" w:rsidRPr="00B85E56" w14:paraId="746AC237" w14:textId="77777777" w:rsidTr="00705D8F">
        <w:trPr>
          <w:trHeight w:val="351"/>
        </w:trPr>
        <w:tc>
          <w:tcPr>
            <w:tcW w:w="2722" w:type="dxa"/>
            <w:vAlign w:val="center"/>
          </w:tcPr>
          <w:p w14:paraId="308359E4" w14:textId="0EB8192F" w:rsidR="00CA460D" w:rsidRPr="00B85E56" w:rsidRDefault="00724B52" w:rsidP="009E37F5">
            <w:pPr>
              <w:ind w:left="242" w:hanging="242"/>
              <w:jc w:val="center"/>
              <w:rPr>
                <w:rFonts w:hint="default"/>
                <w:color w:val="000000" w:themeColor="text1"/>
              </w:rPr>
            </w:pPr>
            <w:r>
              <w:rPr>
                <w:color w:val="000000" w:themeColor="text1"/>
              </w:rPr>
              <w:t>東京都特別区、大阪市</w:t>
            </w:r>
          </w:p>
        </w:tc>
        <w:tc>
          <w:tcPr>
            <w:tcW w:w="1599" w:type="dxa"/>
            <w:vAlign w:val="center"/>
          </w:tcPr>
          <w:p w14:paraId="3A1C5C4A" w14:textId="2E8AD512" w:rsidR="00CA460D" w:rsidRDefault="00CA460D" w:rsidP="00CA460D">
            <w:pPr>
              <w:ind w:left="242" w:hanging="242"/>
              <w:jc w:val="right"/>
              <w:rPr>
                <w:rFonts w:hint="default"/>
                <w:color w:val="000000" w:themeColor="text1"/>
              </w:rPr>
            </w:pPr>
            <w:r>
              <w:rPr>
                <w:color w:val="000000" w:themeColor="text1"/>
              </w:rPr>
              <w:t xml:space="preserve">　円</w:t>
            </w:r>
          </w:p>
        </w:tc>
        <w:tc>
          <w:tcPr>
            <w:tcW w:w="1911" w:type="dxa"/>
            <w:vAlign w:val="center"/>
          </w:tcPr>
          <w:p w14:paraId="6D0D6244" w14:textId="20AF4667" w:rsidR="00CA460D" w:rsidRDefault="00705D8F" w:rsidP="00705D8F">
            <w:pPr>
              <w:wordWrap w:val="0"/>
              <w:ind w:left="242" w:right="-12" w:hanging="242"/>
              <w:rPr>
                <w:rFonts w:hint="default"/>
                <w:color w:val="000000" w:themeColor="text1"/>
              </w:rPr>
            </w:pPr>
            <w:r>
              <w:rPr>
                <w:color w:val="000000" w:themeColor="text1"/>
              </w:rPr>
              <w:t xml:space="preserve">　　　　　　円</w:t>
            </w:r>
          </w:p>
        </w:tc>
        <w:tc>
          <w:tcPr>
            <w:tcW w:w="1490" w:type="dxa"/>
            <w:vAlign w:val="center"/>
          </w:tcPr>
          <w:p w14:paraId="357FAD4F" w14:textId="2F687F69" w:rsidR="00CA460D" w:rsidRDefault="00CA460D" w:rsidP="00CA460D">
            <w:pPr>
              <w:ind w:left="242" w:hanging="242"/>
              <w:jc w:val="right"/>
              <w:rPr>
                <w:rFonts w:hint="default"/>
                <w:color w:val="000000" w:themeColor="text1"/>
              </w:rPr>
            </w:pPr>
            <w:r>
              <w:rPr>
                <w:color w:val="000000" w:themeColor="text1"/>
              </w:rPr>
              <w:t xml:space="preserve">　円</w:t>
            </w:r>
          </w:p>
        </w:tc>
        <w:tc>
          <w:tcPr>
            <w:tcW w:w="1629" w:type="dxa"/>
            <w:vAlign w:val="center"/>
          </w:tcPr>
          <w:p w14:paraId="7E288B09" w14:textId="66FF39F6" w:rsidR="00CA460D" w:rsidRDefault="00CA460D" w:rsidP="00CA460D">
            <w:pPr>
              <w:ind w:left="242" w:hanging="242"/>
              <w:jc w:val="right"/>
              <w:rPr>
                <w:rFonts w:hint="default"/>
                <w:color w:val="000000" w:themeColor="text1"/>
              </w:rPr>
            </w:pPr>
            <w:r>
              <w:rPr>
                <w:color w:val="000000" w:themeColor="text1"/>
              </w:rPr>
              <w:t xml:space="preserve"> </w:t>
            </w:r>
            <w:r>
              <w:rPr>
                <w:rFonts w:hint="default"/>
                <w:color w:val="000000" w:themeColor="text1"/>
              </w:rPr>
              <w:t xml:space="preserve"> </w:t>
            </w:r>
            <w:r>
              <w:rPr>
                <w:color w:val="000000" w:themeColor="text1"/>
              </w:rPr>
              <w:t>円</w:t>
            </w:r>
          </w:p>
        </w:tc>
      </w:tr>
      <w:tr w:rsidR="009E37F5" w:rsidRPr="00B85E56" w14:paraId="063F8D69" w14:textId="77777777" w:rsidTr="00705D8F">
        <w:trPr>
          <w:trHeight w:val="350"/>
        </w:trPr>
        <w:tc>
          <w:tcPr>
            <w:tcW w:w="2722" w:type="dxa"/>
            <w:vMerge w:val="restart"/>
            <w:vAlign w:val="center"/>
            <w:hideMark/>
          </w:tcPr>
          <w:p w14:paraId="70CD745A" w14:textId="77777777" w:rsidR="002774F8" w:rsidRDefault="002774F8" w:rsidP="002774F8">
            <w:pPr>
              <w:ind w:leftChars="-41" w:left="142" w:hangingChars="100" w:hanging="241"/>
              <w:rPr>
                <w:rFonts w:hint="default"/>
                <w:color w:val="000000" w:themeColor="text1"/>
              </w:rPr>
            </w:pPr>
            <w:r>
              <w:rPr>
                <w:color w:val="000000" w:themeColor="text1"/>
              </w:rPr>
              <w:t>札幌市、仙台市、千葉市</w:t>
            </w:r>
          </w:p>
          <w:p w14:paraId="14F5A70B" w14:textId="77777777" w:rsidR="002774F8" w:rsidRDefault="002774F8" w:rsidP="002774F8">
            <w:pPr>
              <w:ind w:leftChars="-41" w:left="142" w:hangingChars="100" w:hanging="241"/>
              <w:rPr>
                <w:rFonts w:hint="default"/>
                <w:color w:val="000000" w:themeColor="text1"/>
              </w:rPr>
            </w:pPr>
            <w:r>
              <w:rPr>
                <w:color w:val="000000" w:themeColor="text1"/>
              </w:rPr>
              <w:t>横浜市、船橋市、川崎市、</w:t>
            </w:r>
          </w:p>
          <w:p w14:paraId="2F161EB3" w14:textId="77777777" w:rsidR="002774F8" w:rsidRDefault="002774F8" w:rsidP="002774F8">
            <w:pPr>
              <w:ind w:leftChars="-41" w:left="142" w:hangingChars="100" w:hanging="241"/>
              <w:rPr>
                <w:rFonts w:hint="default"/>
                <w:color w:val="000000" w:themeColor="text1"/>
              </w:rPr>
            </w:pPr>
            <w:r>
              <w:rPr>
                <w:color w:val="000000" w:themeColor="text1"/>
              </w:rPr>
              <w:t>相模原市、浜松市、名古</w:t>
            </w:r>
          </w:p>
          <w:p w14:paraId="7EA47A5C" w14:textId="77777777" w:rsidR="002774F8" w:rsidRDefault="002774F8" w:rsidP="002774F8">
            <w:pPr>
              <w:ind w:leftChars="-41" w:left="142" w:hangingChars="100" w:hanging="241"/>
              <w:rPr>
                <w:rFonts w:hint="default"/>
                <w:color w:val="000000" w:themeColor="text1"/>
              </w:rPr>
            </w:pPr>
            <w:r>
              <w:rPr>
                <w:color w:val="000000" w:themeColor="text1"/>
              </w:rPr>
              <w:t>屋市、京都市、東大阪市、</w:t>
            </w:r>
          </w:p>
          <w:p w14:paraId="06F72A9D" w14:textId="77777777" w:rsidR="002774F8" w:rsidRDefault="002774F8" w:rsidP="002774F8">
            <w:pPr>
              <w:ind w:leftChars="-41" w:left="142" w:hangingChars="100" w:hanging="241"/>
              <w:rPr>
                <w:rFonts w:hint="default"/>
                <w:color w:val="000000" w:themeColor="text1"/>
              </w:rPr>
            </w:pPr>
            <w:r>
              <w:rPr>
                <w:color w:val="000000" w:themeColor="text1"/>
              </w:rPr>
              <w:t>堺市、尼崎市、神戸市、</w:t>
            </w:r>
          </w:p>
          <w:p w14:paraId="532A8101" w14:textId="77777777" w:rsidR="002774F8" w:rsidRDefault="002774F8" w:rsidP="002774F8">
            <w:pPr>
              <w:ind w:leftChars="-41" w:left="142" w:hangingChars="100" w:hanging="241"/>
              <w:rPr>
                <w:rFonts w:hint="default"/>
                <w:color w:val="000000" w:themeColor="text1"/>
              </w:rPr>
            </w:pPr>
            <w:r>
              <w:rPr>
                <w:color w:val="000000" w:themeColor="text1"/>
              </w:rPr>
              <w:t>岡山市、広島市、北九州</w:t>
            </w:r>
          </w:p>
          <w:p w14:paraId="030422CA" w14:textId="77777777" w:rsidR="002774F8" w:rsidRDefault="002774F8" w:rsidP="002774F8">
            <w:pPr>
              <w:ind w:leftChars="-41" w:left="142" w:hangingChars="100" w:hanging="241"/>
              <w:rPr>
                <w:rFonts w:hint="default"/>
                <w:color w:val="000000" w:themeColor="text1"/>
              </w:rPr>
            </w:pPr>
            <w:r>
              <w:rPr>
                <w:color w:val="000000" w:themeColor="text1"/>
              </w:rPr>
              <w:t>市、福岡市、熊本市、鹿</w:t>
            </w:r>
          </w:p>
          <w:p w14:paraId="2B20E9E5" w14:textId="104D5D62" w:rsidR="00B85E56" w:rsidRPr="00B85E56" w:rsidRDefault="002774F8" w:rsidP="002774F8">
            <w:pPr>
              <w:ind w:leftChars="-41" w:left="142" w:hangingChars="100" w:hanging="241"/>
              <w:rPr>
                <w:rFonts w:hint="default"/>
                <w:color w:val="000000" w:themeColor="text1"/>
              </w:rPr>
            </w:pPr>
            <w:r>
              <w:rPr>
                <w:color w:val="000000" w:themeColor="text1"/>
              </w:rPr>
              <w:t>児島市</w:t>
            </w:r>
          </w:p>
        </w:tc>
        <w:tc>
          <w:tcPr>
            <w:tcW w:w="1599" w:type="dxa"/>
            <w:vMerge w:val="restart"/>
            <w:vAlign w:val="center"/>
            <w:hideMark/>
          </w:tcPr>
          <w:p w14:paraId="28B9B655" w14:textId="2E85E019" w:rsidR="00B85E56" w:rsidRPr="00B85E56" w:rsidRDefault="005C6505" w:rsidP="00CA460D">
            <w:pPr>
              <w:ind w:left="242" w:hanging="242"/>
              <w:jc w:val="right"/>
              <w:rPr>
                <w:rFonts w:hint="default"/>
                <w:color w:val="000000" w:themeColor="text1"/>
              </w:rPr>
            </w:pPr>
            <w:r>
              <w:rPr>
                <w:color w:val="000000" w:themeColor="text1"/>
              </w:rPr>
              <w:t xml:space="preserve">　</w:t>
            </w:r>
            <w:r w:rsidR="00B85E56" w:rsidRPr="00B85E56">
              <w:rPr>
                <w:color w:val="000000" w:themeColor="text1"/>
              </w:rPr>
              <w:t>円</w:t>
            </w:r>
          </w:p>
        </w:tc>
        <w:tc>
          <w:tcPr>
            <w:tcW w:w="1911" w:type="dxa"/>
            <w:vMerge w:val="restart"/>
            <w:vAlign w:val="center"/>
            <w:hideMark/>
          </w:tcPr>
          <w:p w14:paraId="7794A0EF" w14:textId="63EE0B49" w:rsidR="00B85E56" w:rsidRPr="00B85E56" w:rsidRDefault="005C6505" w:rsidP="00CA460D">
            <w:pPr>
              <w:ind w:left="242" w:hanging="242"/>
              <w:jc w:val="right"/>
              <w:rPr>
                <w:rFonts w:hint="default"/>
                <w:color w:val="000000" w:themeColor="text1"/>
              </w:rPr>
            </w:pPr>
            <w:r>
              <w:rPr>
                <w:color w:val="000000" w:themeColor="text1"/>
              </w:rPr>
              <w:t xml:space="preserve">　</w:t>
            </w:r>
            <w:r w:rsidR="009E37F5" w:rsidRPr="00B85E56">
              <w:rPr>
                <w:color w:val="000000" w:themeColor="text1"/>
              </w:rPr>
              <w:t>円</w:t>
            </w:r>
          </w:p>
        </w:tc>
        <w:tc>
          <w:tcPr>
            <w:tcW w:w="1490" w:type="dxa"/>
            <w:vMerge w:val="restart"/>
            <w:vAlign w:val="center"/>
            <w:hideMark/>
          </w:tcPr>
          <w:p w14:paraId="1BEEEAA9" w14:textId="64F71220" w:rsidR="00B85E56" w:rsidRPr="00B85E56" w:rsidRDefault="005C6505" w:rsidP="00CA460D">
            <w:pPr>
              <w:ind w:left="242" w:hanging="242"/>
              <w:jc w:val="right"/>
              <w:rPr>
                <w:rFonts w:hint="default"/>
                <w:color w:val="000000" w:themeColor="text1"/>
              </w:rPr>
            </w:pPr>
            <w:r>
              <w:rPr>
                <w:color w:val="000000" w:themeColor="text1"/>
              </w:rPr>
              <w:t xml:space="preserve">　</w:t>
            </w:r>
            <w:r w:rsidR="009E37F5" w:rsidRPr="00B85E56">
              <w:rPr>
                <w:color w:val="000000" w:themeColor="text1"/>
              </w:rPr>
              <w:t>円</w:t>
            </w:r>
          </w:p>
        </w:tc>
        <w:tc>
          <w:tcPr>
            <w:tcW w:w="1629" w:type="dxa"/>
            <w:vMerge w:val="restart"/>
            <w:vAlign w:val="center"/>
            <w:hideMark/>
          </w:tcPr>
          <w:p w14:paraId="37AD165C" w14:textId="2D85E04C" w:rsidR="00B85E56" w:rsidRPr="00B85E56" w:rsidRDefault="005C6505" w:rsidP="00CA460D">
            <w:pPr>
              <w:ind w:left="242" w:hanging="242"/>
              <w:jc w:val="right"/>
              <w:rPr>
                <w:rFonts w:hint="default"/>
                <w:color w:val="000000" w:themeColor="text1"/>
              </w:rPr>
            </w:pPr>
            <w:r>
              <w:rPr>
                <w:color w:val="000000" w:themeColor="text1"/>
              </w:rPr>
              <w:t xml:space="preserve">　</w:t>
            </w:r>
            <w:r w:rsidR="009E37F5" w:rsidRPr="00B85E56">
              <w:rPr>
                <w:color w:val="000000" w:themeColor="text1"/>
              </w:rPr>
              <w:t>円</w:t>
            </w:r>
          </w:p>
        </w:tc>
      </w:tr>
      <w:tr w:rsidR="00B85E56" w:rsidRPr="00B85E56" w14:paraId="29321448" w14:textId="77777777" w:rsidTr="00705D8F">
        <w:trPr>
          <w:trHeight w:val="360"/>
        </w:trPr>
        <w:tc>
          <w:tcPr>
            <w:tcW w:w="2722" w:type="dxa"/>
            <w:vMerge/>
            <w:hideMark/>
          </w:tcPr>
          <w:p w14:paraId="4F209B48" w14:textId="77777777" w:rsidR="00B85E56" w:rsidRPr="00B85E56" w:rsidRDefault="00B85E56" w:rsidP="00B85E56">
            <w:pPr>
              <w:ind w:left="242" w:hanging="242"/>
              <w:rPr>
                <w:rFonts w:hint="default"/>
                <w:color w:val="000000" w:themeColor="text1"/>
              </w:rPr>
            </w:pPr>
          </w:p>
        </w:tc>
        <w:tc>
          <w:tcPr>
            <w:tcW w:w="1599" w:type="dxa"/>
            <w:vMerge/>
            <w:hideMark/>
          </w:tcPr>
          <w:p w14:paraId="30F20474" w14:textId="77777777" w:rsidR="00B85E56" w:rsidRPr="00B85E56" w:rsidRDefault="00B85E56" w:rsidP="00B85E56">
            <w:pPr>
              <w:ind w:left="242" w:hanging="242"/>
              <w:rPr>
                <w:rFonts w:hint="default"/>
                <w:color w:val="000000" w:themeColor="text1"/>
              </w:rPr>
            </w:pPr>
          </w:p>
        </w:tc>
        <w:tc>
          <w:tcPr>
            <w:tcW w:w="1911" w:type="dxa"/>
            <w:vMerge/>
            <w:hideMark/>
          </w:tcPr>
          <w:p w14:paraId="4FA1B42D" w14:textId="77777777" w:rsidR="00B85E56" w:rsidRPr="00B85E56" w:rsidRDefault="00B85E56" w:rsidP="00B85E56">
            <w:pPr>
              <w:ind w:left="242" w:hanging="242"/>
              <w:rPr>
                <w:rFonts w:hint="default"/>
                <w:color w:val="000000" w:themeColor="text1"/>
              </w:rPr>
            </w:pPr>
          </w:p>
        </w:tc>
        <w:tc>
          <w:tcPr>
            <w:tcW w:w="1490" w:type="dxa"/>
            <w:vMerge/>
            <w:hideMark/>
          </w:tcPr>
          <w:p w14:paraId="0989FA9E" w14:textId="77777777" w:rsidR="00B85E56" w:rsidRPr="00B85E56" w:rsidRDefault="00B85E56" w:rsidP="00B85E56">
            <w:pPr>
              <w:ind w:left="242" w:hanging="242"/>
              <w:rPr>
                <w:rFonts w:hint="default"/>
                <w:color w:val="000000" w:themeColor="text1"/>
              </w:rPr>
            </w:pPr>
          </w:p>
        </w:tc>
        <w:tc>
          <w:tcPr>
            <w:tcW w:w="1629" w:type="dxa"/>
            <w:vMerge/>
            <w:hideMark/>
          </w:tcPr>
          <w:p w14:paraId="0D6031D4" w14:textId="77777777" w:rsidR="00B85E56" w:rsidRPr="00B85E56" w:rsidRDefault="00B85E56" w:rsidP="00B85E56">
            <w:pPr>
              <w:ind w:left="242" w:hanging="242"/>
              <w:rPr>
                <w:rFonts w:hint="default"/>
                <w:color w:val="000000" w:themeColor="text1"/>
              </w:rPr>
            </w:pP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7636427F" w:rsidR="009E37F5" w:rsidRPr="009E37F5" w:rsidRDefault="005C6505" w:rsidP="009E37F5">
            <w:pPr>
              <w:ind w:left="242" w:hanging="242"/>
              <w:jc w:val="center"/>
              <w:rPr>
                <w:rFonts w:hint="default"/>
                <w:color w:val="000000" w:themeColor="text1"/>
              </w:rPr>
            </w:pPr>
            <w:r>
              <w:rPr>
                <w:color w:val="000000" w:themeColor="text1"/>
              </w:rPr>
              <w:t xml:space="preserve">　</w:t>
            </w:r>
            <w:r w:rsidR="002774F8">
              <w:rPr>
                <w:color w:val="000000" w:themeColor="text1"/>
              </w:rPr>
              <w:t>３０分</w:t>
            </w:r>
            <w:r w:rsidR="009E37F5" w:rsidRPr="009E37F5">
              <w:rPr>
                <w:color w:val="000000" w:themeColor="text1"/>
              </w:rPr>
              <w:t>ごとに</w:t>
            </w:r>
          </w:p>
        </w:tc>
        <w:tc>
          <w:tcPr>
            <w:tcW w:w="3532" w:type="dxa"/>
            <w:noWrap/>
            <w:vAlign w:val="center"/>
            <w:hideMark/>
          </w:tcPr>
          <w:p w14:paraId="71A013C6" w14:textId="2C0982EA" w:rsidR="009E37F5" w:rsidRPr="009E37F5" w:rsidRDefault="009E37F5" w:rsidP="009E37F5">
            <w:pPr>
              <w:ind w:left="242" w:hanging="242"/>
              <w:jc w:val="right"/>
              <w:rPr>
                <w:rFonts w:hint="default"/>
                <w:color w:val="000000" w:themeColor="text1"/>
              </w:rPr>
            </w:pPr>
            <w:r w:rsidRPr="00B85E56">
              <w:rPr>
                <w:color w:val="000000" w:themeColor="text1"/>
              </w:rPr>
              <w:t>円</w:t>
            </w:r>
          </w:p>
        </w:tc>
        <w:tc>
          <w:tcPr>
            <w:tcW w:w="2542" w:type="dxa"/>
            <w:noWrap/>
            <w:vAlign w:val="center"/>
            <w:hideMark/>
          </w:tcPr>
          <w:p w14:paraId="25237636" w14:textId="03F009A7" w:rsidR="009E37F5" w:rsidRPr="009E37F5" w:rsidRDefault="009E37F5" w:rsidP="009E37F5">
            <w:pPr>
              <w:ind w:left="242" w:hanging="242"/>
              <w:jc w:val="right"/>
              <w:rPr>
                <w:rFonts w:hint="default"/>
                <w:color w:val="000000" w:themeColor="text1"/>
              </w:rPr>
            </w:pP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100EB9A1"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1FF420F1" w14:textId="73A09404" w:rsidR="007978BE" w:rsidRDefault="007978BE" w:rsidP="00EB74FF">
      <w:pPr>
        <w:spacing w:line="320" w:lineRule="exact"/>
        <w:ind w:left="244" w:hanging="244"/>
        <w:jc w:val="left"/>
        <w:rPr>
          <w:rFonts w:hint="default"/>
          <w:color w:val="000000" w:themeColor="text1"/>
          <w:sz w:val="22"/>
          <w:szCs w:val="18"/>
        </w:rPr>
      </w:pPr>
    </w:p>
    <w:p w14:paraId="725B4ED1" w14:textId="33EBA163" w:rsidR="007978BE" w:rsidRDefault="007978BE" w:rsidP="00EB74FF">
      <w:pPr>
        <w:spacing w:line="320" w:lineRule="exact"/>
        <w:ind w:left="244" w:hanging="244"/>
        <w:jc w:val="left"/>
        <w:rPr>
          <w:rFonts w:hint="default"/>
          <w:color w:val="000000" w:themeColor="text1"/>
          <w:sz w:val="22"/>
          <w:szCs w:val="18"/>
        </w:rPr>
      </w:pPr>
    </w:p>
    <w:p w14:paraId="719B175F" w14:textId="65DC917E" w:rsidR="007978BE" w:rsidRDefault="007978BE" w:rsidP="00EB74FF">
      <w:pPr>
        <w:spacing w:line="320" w:lineRule="exact"/>
        <w:ind w:left="244" w:hanging="244"/>
        <w:jc w:val="left"/>
        <w:rPr>
          <w:rFonts w:hint="default"/>
          <w:color w:val="000000" w:themeColor="text1"/>
          <w:sz w:val="22"/>
          <w:szCs w:val="18"/>
        </w:rPr>
      </w:pPr>
    </w:p>
    <w:p w14:paraId="59C683E3" w14:textId="2FBE71A2" w:rsidR="007978BE" w:rsidRDefault="007978BE" w:rsidP="00EB74FF">
      <w:pPr>
        <w:spacing w:line="320" w:lineRule="exact"/>
        <w:ind w:left="244" w:hanging="244"/>
        <w:jc w:val="left"/>
        <w:rPr>
          <w:rFonts w:hint="default"/>
          <w:color w:val="000000" w:themeColor="text1"/>
          <w:sz w:val="22"/>
          <w:szCs w:val="18"/>
        </w:rPr>
      </w:pPr>
    </w:p>
    <w:p w14:paraId="439F7D28" w14:textId="77777777" w:rsidR="007978BE" w:rsidRDefault="007978BE" w:rsidP="007978BE">
      <w:pPr>
        <w:widowControl/>
        <w:overflowPunct/>
        <w:jc w:val="left"/>
        <w:rPr>
          <w:rFonts w:hint="default"/>
          <w:b/>
          <w:bCs/>
          <w:color w:val="000000" w:themeColor="text1"/>
          <w:sz w:val="28"/>
          <w:szCs w:val="21"/>
        </w:rPr>
      </w:pPr>
      <w:bookmarkStart w:id="0" w:name="_Hlk65509623"/>
      <w:r>
        <w:rPr>
          <w:b/>
          <w:bCs/>
          <w:color w:val="000000" w:themeColor="text1"/>
          <w:sz w:val="28"/>
          <w:szCs w:val="21"/>
        </w:rPr>
        <w:lastRenderedPageBreak/>
        <w:t>○Ⅰ．距離制運賃料金適用方　９．特殊車両割増の別表</w:t>
      </w:r>
    </w:p>
    <w:p w14:paraId="58913921" w14:textId="77777777" w:rsidR="007978BE" w:rsidRDefault="007978BE" w:rsidP="007978BE">
      <w:pPr>
        <w:widowControl/>
        <w:overflowPunct/>
        <w:ind w:left="484" w:rightChars="100" w:right="241" w:hangingChars="200" w:hanging="484"/>
        <w:jc w:val="left"/>
        <w:rPr>
          <w:color w:val="000000" w:themeColor="text1"/>
        </w:rPr>
      </w:pPr>
      <w:r>
        <w:rPr>
          <w:b/>
          <w:bCs/>
          <w:color w:val="000000" w:themeColor="text1"/>
        </w:rPr>
        <w:t xml:space="preserve">　</w:t>
      </w:r>
      <w:r>
        <w:rPr>
          <w:color w:val="000000" w:themeColor="text1"/>
        </w:rPr>
        <w:t>※告示に規定される冷蔵・冷凍車両以外の特殊車両に係る割増率は、下表のとおりとします。</w:t>
      </w:r>
    </w:p>
    <w:p w14:paraId="56497969" w14:textId="77777777" w:rsidR="007978BE" w:rsidRDefault="007978BE" w:rsidP="007978BE">
      <w:pPr>
        <w:widowControl/>
        <w:overflowPunct/>
        <w:jc w:val="left"/>
        <w:rPr>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7978BE" w14:paraId="4A7B5BAB" w14:textId="77777777" w:rsidTr="007978BE">
        <w:trPr>
          <w:trHeight w:val="567"/>
        </w:trPr>
        <w:tc>
          <w:tcPr>
            <w:tcW w:w="6521" w:type="dxa"/>
            <w:tcBorders>
              <w:top w:val="single" w:sz="4" w:space="0" w:color="auto"/>
              <w:left w:val="single" w:sz="4" w:space="0" w:color="auto"/>
              <w:bottom w:val="single" w:sz="4" w:space="0" w:color="auto"/>
              <w:right w:val="single" w:sz="4" w:space="0" w:color="auto"/>
            </w:tcBorders>
            <w:vAlign w:val="center"/>
            <w:hideMark/>
          </w:tcPr>
          <w:p w14:paraId="5BC3837D" w14:textId="77777777" w:rsidR="007978BE" w:rsidRDefault="007978BE">
            <w:pPr>
              <w:jc w:val="center"/>
              <w:rPr>
                <w:color w:val="000000" w:themeColor="text1"/>
              </w:rPr>
            </w:pPr>
            <w:r>
              <w:rPr>
                <w:color w:val="000000" w:themeColor="text1"/>
              </w:rPr>
              <w:t>特　殊　車　両</w:t>
            </w:r>
          </w:p>
        </w:tc>
        <w:tc>
          <w:tcPr>
            <w:tcW w:w="2886" w:type="dxa"/>
            <w:tcBorders>
              <w:top w:val="single" w:sz="4" w:space="0" w:color="auto"/>
              <w:left w:val="single" w:sz="4" w:space="0" w:color="auto"/>
              <w:bottom w:val="single" w:sz="4" w:space="0" w:color="auto"/>
              <w:right w:val="single" w:sz="4" w:space="0" w:color="auto"/>
            </w:tcBorders>
            <w:vAlign w:val="center"/>
            <w:hideMark/>
          </w:tcPr>
          <w:p w14:paraId="76984426" w14:textId="77777777" w:rsidR="007978BE" w:rsidRDefault="007978BE">
            <w:pPr>
              <w:jc w:val="center"/>
              <w:rPr>
                <w:color w:val="000000" w:themeColor="text1"/>
              </w:rPr>
            </w:pPr>
            <w:r>
              <w:rPr>
                <w:color w:val="000000" w:themeColor="text1"/>
              </w:rPr>
              <w:t>割増率</w:t>
            </w:r>
          </w:p>
        </w:tc>
      </w:tr>
      <w:tr w:rsidR="007978BE" w14:paraId="0510F78D" w14:textId="77777777" w:rsidTr="007978BE">
        <w:trPr>
          <w:trHeight w:val="567"/>
        </w:trPr>
        <w:tc>
          <w:tcPr>
            <w:tcW w:w="6521" w:type="dxa"/>
            <w:tcBorders>
              <w:top w:val="single" w:sz="4" w:space="0" w:color="auto"/>
              <w:left w:val="single" w:sz="4" w:space="0" w:color="auto"/>
              <w:bottom w:val="single" w:sz="4" w:space="0" w:color="auto"/>
              <w:right w:val="single" w:sz="4" w:space="0" w:color="auto"/>
            </w:tcBorders>
            <w:vAlign w:val="center"/>
            <w:hideMark/>
          </w:tcPr>
          <w:p w14:paraId="79787E51" w14:textId="77777777" w:rsidR="007978BE" w:rsidRDefault="007978BE">
            <w:pPr>
              <w:rPr>
                <w:color w:val="000000" w:themeColor="text1"/>
              </w:rPr>
            </w:pPr>
            <w:bookmarkStart w:id="1" w:name="_Hlk66194460"/>
            <w:r>
              <w:rPr>
                <w:color w:val="000000" w:themeColor="text1"/>
              </w:rPr>
              <w:t xml:space="preserve">　ダンプ車両</w:t>
            </w:r>
          </w:p>
        </w:tc>
        <w:tc>
          <w:tcPr>
            <w:tcW w:w="2886" w:type="dxa"/>
            <w:tcBorders>
              <w:top w:val="single" w:sz="4" w:space="0" w:color="auto"/>
              <w:left w:val="single" w:sz="4" w:space="0" w:color="auto"/>
              <w:bottom w:val="single" w:sz="4" w:space="0" w:color="auto"/>
              <w:right w:val="single" w:sz="4" w:space="0" w:color="auto"/>
            </w:tcBorders>
            <w:vAlign w:val="center"/>
            <w:hideMark/>
          </w:tcPr>
          <w:p w14:paraId="1E92E968" w14:textId="77777777" w:rsidR="007978BE" w:rsidRDefault="007978BE">
            <w:pPr>
              <w:jc w:val="center"/>
              <w:rPr>
                <w:color w:val="000000" w:themeColor="text1"/>
                <w:u w:val="single"/>
                <w:shd w:val="pct15" w:color="auto" w:fill="FFFFFF"/>
              </w:rPr>
            </w:pPr>
            <w:r>
              <w:rPr>
                <w:color w:val="000000" w:themeColor="text1"/>
              </w:rPr>
              <w:t xml:space="preserve">　割</w:t>
            </w:r>
          </w:p>
        </w:tc>
      </w:tr>
      <w:tr w:rsidR="007978BE" w14:paraId="3B024C1C" w14:textId="77777777" w:rsidTr="007978BE">
        <w:trPr>
          <w:trHeight w:val="567"/>
        </w:trPr>
        <w:tc>
          <w:tcPr>
            <w:tcW w:w="6521" w:type="dxa"/>
            <w:tcBorders>
              <w:top w:val="single" w:sz="4" w:space="0" w:color="auto"/>
              <w:left w:val="single" w:sz="4" w:space="0" w:color="auto"/>
              <w:bottom w:val="single" w:sz="4" w:space="0" w:color="auto"/>
              <w:right w:val="single" w:sz="4" w:space="0" w:color="auto"/>
            </w:tcBorders>
            <w:vAlign w:val="center"/>
            <w:hideMark/>
          </w:tcPr>
          <w:p w14:paraId="76F59B9C" w14:textId="77777777" w:rsidR="007978BE" w:rsidRDefault="007978BE">
            <w:pPr>
              <w:rPr>
                <w:color w:val="000000" w:themeColor="text1"/>
              </w:rPr>
            </w:pPr>
            <w:r>
              <w:rPr>
                <w:color w:val="000000" w:themeColor="text1"/>
              </w:rPr>
              <w:t xml:space="preserve">　タンク車両</w:t>
            </w:r>
          </w:p>
        </w:tc>
        <w:tc>
          <w:tcPr>
            <w:tcW w:w="2886" w:type="dxa"/>
            <w:tcBorders>
              <w:top w:val="single" w:sz="4" w:space="0" w:color="auto"/>
              <w:left w:val="single" w:sz="4" w:space="0" w:color="auto"/>
              <w:bottom w:val="single" w:sz="4" w:space="0" w:color="auto"/>
              <w:right w:val="single" w:sz="4" w:space="0" w:color="auto"/>
            </w:tcBorders>
            <w:vAlign w:val="center"/>
            <w:hideMark/>
          </w:tcPr>
          <w:p w14:paraId="475FA323" w14:textId="77777777" w:rsidR="007978BE" w:rsidRDefault="007978BE">
            <w:pPr>
              <w:jc w:val="center"/>
              <w:rPr>
                <w:color w:val="000000" w:themeColor="text1"/>
                <w:u w:val="single"/>
                <w:shd w:val="pct15" w:color="auto" w:fill="FFFFFF"/>
              </w:rPr>
            </w:pPr>
            <w:r>
              <w:rPr>
                <w:color w:val="000000" w:themeColor="text1"/>
              </w:rPr>
              <w:t xml:space="preserve">　割</w:t>
            </w:r>
          </w:p>
        </w:tc>
      </w:tr>
      <w:tr w:rsidR="007978BE" w14:paraId="6DB3500B" w14:textId="77777777" w:rsidTr="007978BE">
        <w:trPr>
          <w:trHeight w:val="567"/>
        </w:trPr>
        <w:tc>
          <w:tcPr>
            <w:tcW w:w="6521" w:type="dxa"/>
            <w:tcBorders>
              <w:top w:val="single" w:sz="4" w:space="0" w:color="auto"/>
              <w:left w:val="single" w:sz="4" w:space="0" w:color="auto"/>
              <w:bottom w:val="single" w:sz="4" w:space="0" w:color="auto"/>
              <w:right w:val="single" w:sz="4" w:space="0" w:color="auto"/>
            </w:tcBorders>
            <w:vAlign w:val="center"/>
            <w:hideMark/>
          </w:tcPr>
          <w:p w14:paraId="622E9234" w14:textId="77777777" w:rsidR="007978BE" w:rsidRDefault="007978BE">
            <w:pPr>
              <w:rPr>
                <w:color w:val="000000" w:themeColor="text1"/>
              </w:rPr>
            </w:pPr>
            <w:r>
              <w:rPr>
                <w:color w:val="000000" w:themeColor="text1"/>
              </w:rPr>
              <w:t xml:space="preserve">　海上コンテナ車両</w:t>
            </w:r>
          </w:p>
        </w:tc>
        <w:tc>
          <w:tcPr>
            <w:tcW w:w="2886" w:type="dxa"/>
            <w:tcBorders>
              <w:top w:val="single" w:sz="4" w:space="0" w:color="auto"/>
              <w:left w:val="single" w:sz="4" w:space="0" w:color="auto"/>
              <w:bottom w:val="single" w:sz="4" w:space="0" w:color="auto"/>
              <w:right w:val="single" w:sz="4" w:space="0" w:color="auto"/>
            </w:tcBorders>
            <w:vAlign w:val="center"/>
            <w:hideMark/>
          </w:tcPr>
          <w:p w14:paraId="2FABD266" w14:textId="77777777" w:rsidR="007978BE" w:rsidRDefault="007978BE">
            <w:pPr>
              <w:jc w:val="center"/>
              <w:rPr>
                <w:color w:val="000000" w:themeColor="text1"/>
                <w:u w:val="single"/>
                <w:shd w:val="pct15" w:color="auto" w:fill="FFFFFF"/>
              </w:rPr>
            </w:pPr>
            <w:r>
              <w:rPr>
                <w:color w:val="000000" w:themeColor="text1"/>
              </w:rPr>
              <w:t xml:space="preserve">　割</w:t>
            </w:r>
          </w:p>
        </w:tc>
      </w:tr>
      <w:tr w:rsidR="007978BE" w14:paraId="2EBE85E1" w14:textId="77777777" w:rsidTr="007978BE">
        <w:trPr>
          <w:trHeight w:val="567"/>
        </w:trPr>
        <w:tc>
          <w:tcPr>
            <w:tcW w:w="6521" w:type="dxa"/>
            <w:tcBorders>
              <w:top w:val="single" w:sz="4" w:space="0" w:color="auto"/>
              <w:left w:val="single" w:sz="4" w:space="0" w:color="auto"/>
              <w:bottom w:val="single" w:sz="4" w:space="0" w:color="auto"/>
              <w:right w:val="single" w:sz="4" w:space="0" w:color="auto"/>
            </w:tcBorders>
            <w:vAlign w:val="center"/>
            <w:hideMark/>
          </w:tcPr>
          <w:p w14:paraId="1312B0A8" w14:textId="77777777" w:rsidR="007978BE" w:rsidRDefault="007978BE">
            <w:pPr>
              <w:rPr>
                <w:color w:val="000000" w:themeColor="text1"/>
              </w:rPr>
            </w:pPr>
            <w:r>
              <w:rPr>
                <w:color w:val="000000" w:themeColor="text1"/>
              </w:rPr>
              <w:t xml:space="preserve">　ユニック車</w:t>
            </w:r>
          </w:p>
        </w:tc>
        <w:tc>
          <w:tcPr>
            <w:tcW w:w="2886" w:type="dxa"/>
            <w:tcBorders>
              <w:top w:val="single" w:sz="4" w:space="0" w:color="auto"/>
              <w:left w:val="single" w:sz="4" w:space="0" w:color="auto"/>
              <w:bottom w:val="single" w:sz="4" w:space="0" w:color="auto"/>
              <w:right w:val="single" w:sz="4" w:space="0" w:color="auto"/>
            </w:tcBorders>
            <w:vAlign w:val="center"/>
            <w:hideMark/>
          </w:tcPr>
          <w:p w14:paraId="4F0FDDD8" w14:textId="77777777" w:rsidR="007978BE" w:rsidRDefault="007978BE">
            <w:pPr>
              <w:jc w:val="center"/>
              <w:rPr>
                <w:color w:val="000000" w:themeColor="text1"/>
                <w:u w:val="single"/>
                <w:shd w:val="pct15" w:color="auto" w:fill="FFFFFF"/>
              </w:rPr>
            </w:pPr>
            <w:r>
              <w:rPr>
                <w:color w:val="000000" w:themeColor="text1"/>
              </w:rPr>
              <w:t xml:space="preserve">　割</w:t>
            </w:r>
          </w:p>
        </w:tc>
      </w:tr>
      <w:tr w:rsidR="007978BE" w14:paraId="26379684" w14:textId="77777777" w:rsidTr="007978BE">
        <w:trPr>
          <w:trHeight w:val="567"/>
        </w:trPr>
        <w:tc>
          <w:tcPr>
            <w:tcW w:w="6521" w:type="dxa"/>
            <w:tcBorders>
              <w:top w:val="single" w:sz="4" w:space="0" w:color="auto"/>
              <w:left w:val="single" w:sz="4" w:space="0" w:color="auto"/>
              <w:bottom w:val="single" w:sz="4" w:space="0" w:color="auto"/>
              <w:right w:val="single" w:sz="4" w:space="0" w:color="auto"/>
            </w:tcBorders>
            <w:vAlign w:val="center"/>
            <w:hideMark/>
          </w:tcPr>
          <w:p w14:paraId="5E22DD7B" w14:textId="77777777" w:rsidR="007978BE" w:rsidRDefault="007978BE">
            <w:pPr>
              <w:rPr>
                <w:color w:val="000000" w:themeColor="text1"/>
              </w:rPr>
            </w:pPr>
            <w:r>
              <w:rPr>
                <w:color w:val="000000" w:themeColor="text1"/>
              </w:rPr>
              <w:t xml:space="preserve">　塵芥車</w:t>
            </w:r>
          </w:p>
        </w:tc>
        <w:tc>
          <w:tcPr>
            <w:tcW w:w="2886" w:type="dxa"/>
            <w:tcBorders>
              <w:top w:val="single" w:sz="4" w:space="0" w:color="auto"/>
              <w:left w:val="single" w:sz="4" w:space="0" w:color="auto"/>
              <w:bottom w:val="single" w:sz="4" w:space="0" w:color="auto"/>
              <w:right w:val="single" w:sz="4" w:space="0" w:color="auto"/>
            </w:tcBorders>
            <w:vAlign w:val="center"/>
            <w:hideMark/>
          </w:tcPr>
          <w:p w14:paraId="7A97A23A" w14:textId="77777777" w:rsidR="007978BE" w:rsidRDefault="007978BE">
            <w:pPr>
              <w:pStyle w:val="af"/>
              <w:ind w:leftChars="0" w:left="360"/>
              <w:rPr>
                <w:rFonts w:hint="eastAsia"/>
                <w:color w:val="000000" w:themeColor="text1"/>
                <w:u w:val="single"/>
                <w:shd w:val="pct15" w:color="auto" w:fill="FFFFFF"/>
              </w:rPr>
            </w:pPr>
            <w:r>
              <w:rPr>
                <w:rFonts w:hint="eastAsia"/>
                <w:color w:val="FF0000"/>
              </w:rPr>
              <w:t xml:space="preserve">　　　　</w:t>
            </w:r>
            <w:r>
              <w:rPr>
                <w:rFonts w:hint="eastAsia"/>
                <w:color w:val="000000" w:themeColor="text1"/>
              </w:rPr>
              <w:t>割</w:t>
            </w:r>
          </w:p>
        </w:tc>
        <w:bookmarkEnd w:id="1"/>
      </w:tr>
      <w:tr w:rsidR="007978BE" w14:paraId="69C10C45" w14:textId="77777777" w:rsidTr="007978BE">
        <w:trPr>
          <w:trHeight w:val="567"/>
        </w:trPr>
        <w:tc>
          <w:tcPr>
            <w:tcW w:w="6521" w:type="dxa"/>
            <w:tcBorders>
              <w:top w:val="single" w:sz="4" w:space="0" w:color="auto"/>
              <w:left w:val="single" w:sz="4" w:space="0" w:color="auto"/>
              <w:bottom w:val="single" w:sz="4" w:space="0" w:color="auto"/>
              <w:right w:val="single" w:sz="4" w:space="0" w:color="auto"/>
            </w:tcBorders>
            <w:vAlign w:val="center"/>
          </w:tcPr>
          <w:p w14:paraId="3D95FAC7" w14:textId="77777777" w:rsidR="007978BE" w:rsidRDefault="007978BE">
            <w:pPr>
              <w:rPr>
                <w:color w:val="000000" w:themeColor="text1"/>
              </w:rPr>
            </w:pPr>
          </w:p>
        </w:tc>
        <w:tc>
          <w:tcPr>
            <w:tcW w:w="2886" w:type="dxa"/>
            <w:tcBorders>
              <w:top w:val="single" w:sz="4" w:space="0" w:color="auto"/>
              <w:left w:val="single" w:sz="4" w:space="0" w:color="auto"/>
              <w:bottom w:val="single" w:sz="4" w:space="0" w:color="auto"/>
              <w:right w:val="single" w:sz="4" w:space="0" w:color="auto"/>
            </w:tcBorders>
            <w:vAlign w:val="center"/>
          </w:tcPr>
          <w:p w14:paraId="3DC2804E" w14:textId="77777777" w:rsidR="007978BE" w:rsidRDefault="007978BE">
            <w:pPr>
              <w:jc w:val="center"/>
              <w:rPr>
                <w:color w:val="000000" w:themeColor="text1"/>
                <w:u w:val="single"/>
                <w:shd w:val="pct15" w:color="auto" w:fill="FFFFFF"/>
              </w:rPr>
            </w:pPr>
          </w:p>
        </w:tc>
      </w:tr>
      <w:tr w:rsidR="007978BE" w14:paraId="12555C29" w14:textId="77777777" w:rsidTr="007978BE">
        <w:trPr>
          <w:trHeight w:val="567"/>
        </w:trPr>
        <w:tc>
          <w:tcPr>
            <w:tcW w:w="6521" w:type="dxa"/>
            <w:tcBorders>
              <w:top w:val="single" w:sz="4" w:space="0" w:color="auto"/>
              <w:left w:val="single" w:sz="4" w:space="0" w:color="auto"/>
              <w:bottom w:val="single" w:sz="4" w:space="0" w:color="auto"/>
              <w:right w:val="single" w:sz="4" w:space="0" w:color="auto"/>
            </w:tcBorders>
            <w:vAlign w:val="center"/>
          </w:tcPr>
          <w:p w14:paraId="2E00AE66" w14:textId="77777777" w:rsidR="007978BE" w:rsidRDefault="007978BE">
            <w:pPr>
              <w:rPr>
                <w:color w:val="000000" w:themeColor="text1"/>
              </w:rPr>
            </w:pPr>
          </w:p>
        </w:tc>
        <w:tc>
          <w:tcPr>
            <w:tcW w:w="2886" w:type="dxa"/>
            <w:tcBorders>
              <w:top w:val="single" w:sz="4" w:space="0" w:color="auto"/>
              <w:left w:val="single" w:sz="4" w:space="0" w:color="auto"/>
              <w:bottom w:val="single" w:sz="4" w:space="0" w:color="auto"/>
              <w:right w:val="single" w:sz="4" w:space="0" w:color="auto"/>
            </w:tcBorders>
            <w:vAlign w:val="center"/>
          </w:tcPr>
          <w:p w14:paraId="6B2F5824" w14:textId="77777777" w:rsidR="007978BE" w:rsidRDefault="007978BE">
            <w:pPr>
              <w:jc w:val="center"/>
              <w:rPr>
                <w:color w:val="000000" w:themeColor="text1"/>
                <w:u w:val="single"/>
                <w:shd w:val="pct15" w:color="auto" w:fill="FFFFFF"/>
              </w:rPr>
            </w:pPr>
          </w:p>
        </w:tc>
      </w:tr>
      <w:tr w:rsidR="007978BE" w14:paraId="73979B1D" w14:textId="77777777" w:rsidTr="007978BE">
        <w:trPr>
          <w:trHeight w:val="567"/>
        </w:trPr>
        <w:tc>
          <w:tcPr>
            <w:tcW w:w="6521" w:type="dxa"/>
            <w:tcBorders>
              <w:top w:val="single" w:sz="4" w:space="0" w:color="auto"/>
              <w:left w:val="single" w:sz="4" w:space="0" w:color="auto"/>
              <w:bottom w:val="single" w:sz="4" w:space="0" w:color="auto"/>
              <w:right w:val="single" w:sz="4" w:space="0" w:color="auto"/>
            </w:tcBorders>
            <w:vAlign w:val="center"/>
          </w:tcPr>
          <w:p w14:paraId="6FBD46C4" w14:textId="77777777" w:rsidR="007978BE" w:rsidRDefault="007978BE">
            <w:pPr>
              <w:rPr>
                <w:color w:val="000000" w:themeColor="text1"/>
              </w:rPr>
            </w:pPr>
          </w:p>
        </w:tc>
        <w:tc>
          <w:tcPr>
            <w:tcW w:w="2886" w:type="dxa"/>
            <w:tcBorders>
              <w:top w:val="single" w:sz="4" w:space="0" w:color="auto"/>
              <w:left w:val="single" w:sz="4" w:space="0" w:color="auto"/>
              <w:bottom w:val="single" w:sz="4" w:space="0" w:color="auto"/>
              <w:right w:val="single" w:sz="4" w:space="0" w:color="auto"/>
            </w:tcBorders>
            <w:vAlign w:val="center"/>
          </w:tcPr>
          <w:p w14:paraId="4B50BE0B" w14:textId="77777777" w:rsidR="007978BE" w:rsidRDefault="007978BE">
            <w:pPr>
              <w:jc w:val="center"/>
              <w:rPr>
                <w:color w:val="000000" w:themeColor="text1"/>
                <w:u w:val="single"/>
                <w:shd w:val="pct15" w:color="auto" w:fill="FFFFFF"/>
              </w:rPr>
            </w:pPr>
          </w:p>
        </w:tc>
      </w:tr>
      <w:bookmarkEnd w:id="0"/>
    </w:tbl>
    <w:p w14:paraId="1A268FB0" w14:textId="77777777" w:rsidR="007978BE" w:rsidRDefault="007978BE" w:rsidP="007978BE">
      <w:pPr>
        <w:spacing w:line="320" w:lineRule="exact"/>
        <w:jc w:val="left"/>
        <w:rPr>
          <w:color w:val="auto"/>
          <w:sz w:val="22"/>
          <w:szCs w:val="18"/>
        </w:rPr>
      </w:pPr>
    </w:p>
    <w:p w14:paraId="381A2958" w14:textId="77777777" w:rsidR="007978BE" w:rsidRPr="00EB74FF" w:rsidRDefault="007978BE" w:rsidP="00EB74FF">
      <w:pPr>
        <w:spacing w:line="320" w:lineRule="exact"/>
        <w:ind w:left="244" w:hanging="244"/>
        <w:jc w:val="left"/>
        <w:rPr>
          <w:color w:val="000000" w:themeColor="text1"/>
          <w:sz w:val="22"/>
          <w:szCs w:val="18"/>
        </w:rPr>
      </w:pPr>
    </w:p>
    <w:sectPr w:rsidR="007978BE" w:rsidRPr="00EB74FF" w:rsidSect="00F00A2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1247" w:bottom="1417" w:left="1247" w:header="1134" w:footer="1020" w:gutter="0"/>
      <w:cols w:space="720"/>
      <w:titlePg/>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7BB0" w14:textId="77777777" w:rsidR="002374AB" w:rsidRDefault="002374AB">
      <w:pPr>
        <w:spacing w:before="327"/>
        <w:rPr>
          <w:rFonts w:hint="default"/>
        </w:rPr>
      </w:pPr>
      <w:r>
        <w:continuationSeparator/>
      </w:r>
    </w:p>
  </w:endnote>
  <w:endnote w:type="continuationSeparator" w:id="0">
    <w:p w14:paraId="543D8973" w14:textId="77777777" w:rsidR="002374AB" w:rsidRDefault="002374A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913A" w14:textId="77777777" w:rsidR="00F00A22" w:rsidRDefault="00F00A22">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E21B" w14:textId="77777777" w:rsidR="002374AB" w:rsidRDefault="002374AB">
      <w:pPr>
        <w:spacing w:before="327"/>
        <w:rPr>
          <w:rFonts w:hint="default"/>
        </w:rPr>
      </w:pPr>
      <w:r>
        <w:continuationSeparator/>
      </w:r>
    </w:p>
  </w:footnote>
  <w:footnote w:type="continuationSeparator" w:id="0">
    <w:p w14:paraId="57D54998" w14:textId="77777777" w:rsidR="002374AB" w:rsidRDefault="002374AB">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FF74" w14:textId="77777777" w:rsidR="00F00A22" w:rsidRDefault="00F00A22">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19EA" w14:textId="77777777" w:rsidR="00F00A22" w:rsidRPr="00F00A22" w:rsidRDefault="00F00A22" w:rsidP="00F00A22">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624D" w14:textId="180C8CBA" w:rsidR="00F00A22" w:rsidRDefault="00F00A22" w:rsidP="00F00A22">
    <w:pPr>
      <w:pStyle w:val="a3"/>
      <w:jc w:val="right"/>
      <w:rPr>
        <w:rFonts w:hint="default"/>
      </w:rPr>
    </w:pPr>
    <w: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378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5126C"/>
    <w:rsid w:val="002774F8"/>
    <w:rsid w:val="002A0A66"/>
    <w:rsid w:val="00362BE3"/>
    <w:rsid w:val="00380A06"/>
    <w:rsid w:val="003E789D"/>
    <w:rsid w:val="00470821"/>
    <w:rsid w:val="004F6B83"/>
    <w:rsid w:val="005133B5"/>
    <w:rsid w:val="0053123D"/>
    <w:rsid w:val="005C6505"/>
    <w:rsid w:val="005E119F"/>
    <w:rsid w:val="00667204"/>
    <w:rsid w:val="00705D8F"/>
    <w:rsid w:val="00724B52"/>
    <w:rsid w:val="00724E99"/>
    <w:rsid w:val="00754480"/>
    <w:rsid w:val="007978BE"/>
    <w:rsid w:val="007A6C1B"/>
    <w:rsid w:val="007E5DB8"/>
    <w:rsid w:val="007F7AC0"/>
    <w:rsid w:val="0083171A"/>
    <w:rsid w:val="00861290"/>
    <w:rsid w:val="00874BB8"/>
    <w:rsid w:val="008E5E18"/>
    <w:rsid w:val="009153CC"/>
    <w:rsid w:val="009B0FA8"/>
    <w:rsid w:val="009E37F5"/>
    <w:rsid w:val="00A43699"/>
    <w:rsid w:val="00B4131A"/>
    <w:rsid w:val="00B85E56"/>
    <w:rsid w:val="00B8783C"/>
    <w:rsid w:val="00C04598"/>
    <w:rsid w:val="00C34357"/>
    <w:rsid w:val="00CA460D"/>
    <w:rsid w:val="00D614A6"/>
    <w:rsid w:val="00D72695"/>
    <w:rsid w:val="00DC67FF"/>
    <w:rsid w:val="00E6105B"/>
    <w:rsid w:val="00E8787A"/>
    <w:rsid w:val="00EB74FF"/>
    <w:rsid w:val="00F00A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978BE"/>
    <w:pPr>
      <w:ind w:leftChars="400" w:left="840"/>
      <w:textAlignment w:val="auto"/>
    </w:pPr>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280726038">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4539</Words>
  <Characters>534</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2020-08-25T01:29:00Z</dcterms:created>
  <dcterms:modified xsi:type="dcterms:W3CDTF">2021-04-14T07:34:00Z</dcterms:modified>
</cp:coreProperties>
</file>